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6FB" w:rsidRDefault="00E346FB" w:rsidP="00E346FB">
      <w:pPr>
        <w:keepNext/>
        <w:jc w:val="center"/>
        <w:rPr>
          <w:rFonts w:eastAsia="Arial"/>
          <w:sz w:val="20"/>
          <w:szCs w:val="20"/>
        </w:rPr>
      </w:pPr>
      <w:r>
        <w:rPr>
          <w:rFonts w:eastAsia="Arial"/>
          <w:b/>
          <w:sz w:val="20"/>
          <w:szCs w:val="20"/>
        </w:rPr>
        <w:t>KARTA KURSU</w:t>
      </w:r>
    </w:p>
    <w:p w:rsidR="00E346FB" w:rsidRDefault="00E346FB" w:rsidP="00E346FB">
      <w:pPr>
        <w:jc w:val="center"/>
        <w:rPr>
          <w:rFonts w:eastAsia="Arial"/>
          <w:sz w:val="20"/>
          <w:szCs w:val="20"/>
        </w:rPr>
      </w:pPr>
    </w:p>
    <w:p w:rsidR="00E346FB" w:rsidRDefault="00E346FB" w:rsidP="00E346FB">
      <w:pPr>
        <w:jc w:val="center"/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E346FB" w:rsidTr="00E346FB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pStyle w:val="Tytu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Narzędzia do kształcenia na odległość</w:t>
            </w:r>
          </w:p>
        </w:tc>
      </w:tr>
      <w:tr w:rsidR="00E346FB" w:rsidTr="00E346FB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rPr>
                <w:rFonts w:eastAsia="Arial"/>
                <w:i/>
                <w:sz w:val="20"/>
                <w:szCs w:val="20"/>
                <w:lang w:val="en-US"/>
              </w:rPr>
            </w:pPr>
            <w:r>
              <w:rPr>
                <w:rStyle w:val="Uwydatnienie"/>
                <w:i w:val="0"/>
              </w:rPr>
              <w:t xml:space="preserve">Tools for </w:t>
            </w:r>
            <w:proofErr w:type="spellStart"/>
            <w:r>
              <w:rPr>
                <w:rStyle w:val="Uwydatnienie"/>
                <w:i w:val="0"/>
              </w:rPr>
              <w:t>distance</w:t>
            </w:r>
            <w:proofErr w:type="spellEnd"/>
            <w:r>
              <w:rPr>
                <w:rStyle w:val="Uwydatnienie"/>
                <w:i w:val="0"/>
              </w:rPr>
              <w:t xml:space="preserve"> learning</w:t>
            </w:r>
          </w:p>
        </w:tc>
      </w:tr>
    </w:tbl>
    <w:p w:rsidR="00E346FB" w:rsidRDefault="00E346FB" w:rsidP="00E346FB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E346FB" w:rsidTr="00E346FB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</w:rPr>
            </w:pPr>
            <w:r>
              <w:t>Kierownik Katedry Glottodydaktyki i Nauczania Zdalnego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E346FB" w:rsidTr="00E346FB">
        <w:trPr>
          <w:trHeight w:val="423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t>Katedra Glottodydaktyki i Nauczania Zdalnego</w:t>
            </w:r>
          </w:p>
        </w:tc>
      </w:tr>
      <w:tr w:rsidR="00E346FB" w:rsidTr="00E346FB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</w:tr>
      <w:tr w:rsidR="00E346FB" w:rsidTr="00E346FB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Opis kursu (cele kształcenia)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E346FB" w:rsidTr="00E346FB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346FB" w:rsidRDefault="00E346FB">
            <w:pPr>
              <w:snapToGrid w:val="0"/>
            </w:pPr>
            <w:r>
              <w:t>„Narzędzia do nauczania na odległość” to kurs stanowiący odpowiedź na coraz większe zapotrzebowanie związane z uczeniem się przez całe życie. Ma służyć rozwijaniu wiedzy i umiejętności zdobytych w trakcie tradycyjnego kształcenia poprzez wykorzystanie bogatych możliwości, jakie daje nauczanie na odległość.</w:t>
            </w:r>
          </w:p>
          <w:p w:rsidR="00E346FB" w:rsidRDefault="00E346FB">
            <w:pPr>
              <w:snapToGrid w:val="0"/>
            </w:pPr>
            <w:r>
              <w:t>Celem działań wykonywanych w trakcie kursu, głównie poprzez platformę</w:t>
            </w:r>
            <w:r>
              <w:rPr>
                <w:rStyle w:val="Uwydatnienie"/>
                <w:i w:val="0"/>
              </w:rPr>
              <w:t xml:space="preserve"> </w:t>
            </w:r>
            <w:proofErr w:type="spellStart"/>
            <w:r>
              <w:rPr>
                <w:rStyle w:val="Uwydatnienie"/>
                <w:i w:val="0"/>
              </w:rPr>
              <w:t>Moodle</w:t>
            </w:r>
            <w:proofErr w:type="spellEnd"/>
            <w:r>
              <w:rPr>
                <w:rStyle w:val="Uwydatnienie"/>
                <w:i w:val="0"/>
              </w:rPr>
              <w:t xml:space="preserve">, będzie </w:t>
            </w:r>
            <w:r>
              <w:t>odświeżenie zdobytej wiedzy i umiejętności, wyszukiwanie nowych informacji i rozwijanie umiejętności ich zastosowania w konkretnej zawodowej sytuacji (głównie w sytuacjach zawodowych nauczycieli i tłumaczy).</w:t>
            </w: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Warunki wstępne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E346FB" w:rsidTr="00E346FB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46FB" w:rsidRDefault="00E346FB">
            <w:pPr>
              <w:ind w:left="-80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 </w:t>
            </w:r>
            <w:r>
              <w:t>Znajomość języka francuskiego przynajmniej na poziomie B2</w:t>
            </w:r>
          </w:p>
        </w:tc>
      </w:tr>
      <w:tr w:rsidR="00E346FB" w:rsidTr="00E346FB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46FB" w:rsidRDefault="00E346FB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Obsługa komputera </w:t>
            </w:r>
          </w:p>
        </w:tc>
      </w:tr>
      <w:tr w:rsidR="00E346FB" w:rsidTr="00E346FB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Efekty uczenia się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9645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299"/>
        <w:gridCol w:w="2366"/>
      </w:tblGrid>
      <w:tr w:rsidR="00E346FB" w:rsidTr="00E346FB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E346FB" w:rsidRDefault="00E346FB">
            <w:pPr>
              <w:jc w:val="center"/>
              <w:rPr>
                <w:b/>
              </w:rPr>
            </w:pPr>
            <w:r>
              <w:rPr>
                <w:b/>
              </w:rPr>
              <w:t>Charakterystyki drugiego stopnia</w:t>
            </w:r>
          </w:p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E346FB" w:rsidTr="00E346FB">
        <w:trPr>
          <w:trHeight w:val="95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Absolwent zna i rozumie/ </w:t>
            </w:r>
            <w:r>
              <w:rPr>
                <w:b/>
                <w:sz w:val="20"/>
                <w:szCs w:val="20"/>
              </w:rPr>
              <w:t>P7U_W</w:t>
            </w:r>
          </w:p>
          <w:p w:rsidR="00E346FB" w:rsidRDefault="00E346FB">
            <w:pPr>
              <w:rPr>
                <w:b/>
                <w:sz w:val="20"/>
                <w:szCs w:val="20"/>
              </w:rPr>
            </w:pPr>
          </w:p>
          <w:p w:rsidR="00E346FB" w:rsidRDefault="00E346FB" w:rsidP="004A40E9">
            <w:pPr>
              <w:numPr>
                <w:ilvl w:val="0"/>
                <w:numId w:val="2"/>
              </w:numPr>
              <w:rPr>
                <w:rFonts w:eastAsia="MyriadPro-Regular"/>
                <w:sz w:val="20"/>
                <w:szCs w:val="20"/>
              </w:rPr>
            </w:pPr>
            <w:r>
              <w:rPr>
                <w:rFonts w:ascii="TimesNewRoman" w:hAnsi="TimesNewRoman"/>
                <w:color w:val="000000"/>
                <w:sz w:val="20"/>
              </w:rPr>
              <w:t>w pogłębionym stopniu teorie oraz zaawansowaną metodologię i terminologię z zakresu dziedzin nauki i dyscyplin naukowych właściwych dla filologii romańskiej</w:t>
            </w:r>
            <w:r>
              <w:rPr>
                <w:rFonts w:eastAsia="MyriadPro-Regular"/>
                <w:sz w:val="20"/>
                <w:szCs w:val="20"/>
              </w:rPr>
              <w:t xml:space="preserve"> </w:t>
            </w:r>
          </w:p>
          <w:p w:rsidR="00E346FB" w:rsidRDefault="00E346FB">
            <w:pPr>
              <w:rPr>
                <w:rFonts w:eastAsia="MyriadPro-Regular"/>
                <w:sz w:val="20"/>
                <w:szCs w:val="20"/>
              </w:rPr>
            </w:pPr>
          </w:p>
          <w:p w:rsidR="00E346FB" w:rsidRDefault="00E346FB" w:rsidP="004A40E9">
            <w:pPr>
              <w:pStyle w:val="Default"/>
              <w:numPr>
                <w:ilvl w:val="0"/>
                <w:numId w:val="2"/>
              </w:numPr>
            </w:pPr>
            <w:r>
              <w:rPr>
                <w:rFonts w:ascii="TimesNewRoman" w:eastAsia="Times New Roman" w:hAnsi="TimesNewRoman"/>
                <w:sz w:val="20"/>
                <w:lang w:eastAsia="pl-PL"/>
              </w:rPr>
              <w:t>zasady zarządzania zasobami własności intelektualnej oraz formy rozwoju</w:t>
            </w:r>
            <w:r>
              <w:rPr>
                <w:rFonts w:ascii="TimesNewRoman" w:eastAsia="Times New Roman" w:hAnsi="TimesNew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NewRoman" w:eastAsia="Times New Roman" w:hAnsi="TimesNewRoman"/>
                <w:sz w:val="20"/>
                <w:lang w:eastAsia="pl-PL"/>
              </w:rPr>
              <w:t>indywidualnej przedsiębiorczości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K2_W02</w:t>
            </w: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K2_W06</w:t>
            </w: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9645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5248"/>
        <w:gridCol w:w="2411"/>
      </w:tblGrid>
      <w:tr w:rsidR="00E346FB" w:rsidTr="00E346FB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E346FB" w:rsidRDefault="00E346FB">
            <w:pPr>
              <w:jc w:val="center"/>
              <w:rPr>
                <w:b/>
              </w:rPr>
            </w:pPr>
            <w:r>
              <w:rPr>
                <w:b/>
              </w:rPr>
              <w:t>Charakterystyki drugiego stopnia</w:t>
            </w:r>
          </w:p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E346FB" w:rsidTr="00E346FB">
        <w:trPr>
          <w:trHeight w:val="140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b/>
              </w:rPr>
              <w:t>Absolwent potrafi/</w:t>
            </w:r>
            <w:r>
              <w:rPr>
                <w:b/>
                <w:sz w:val="20"/>
                <w:szCs w:val="20"/>
              </w:rPr>
              <w:t>P7U_U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 w:rsidP="004A40E9">
            <w:pPr>
              <w:numPr>
                <w:ilvl w:val="0"/>
                <w:numId w:val="3"/>
              </w:numPr>
              <w:rPr>
                <w:rFonts w:ascii="TimesNewRoman" w:hAnsi="TimesNewRoman"/>
                <w:color w:val="000000"/>
                <w:sz w:val="20"/>
              </w:rPr>
            </w:pPr>
            <w:r>
              <w:rPr>
                <w:rFonts w:ascii="TimesNewRoman" w:hAnsi="TimesNewRoman"/>
                <w:color w:val="000000"/>
                <w:sz w:val="20"/>
              </w:rPr>
              <w:t>formułować i analizować problemy badawcze, dobierać metody i narzędzia</w:t>
            </w:r>
            <w:r>
              <w:rPr>
                <w:rFonts w:ascii="TimesNewRoman" w:hAnsi="TimesNew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NewRoman" w:hAnsi="TimesNewRoman"/>
                <w:color w:val="000000"/>
                <w:sz w:val="20"/>
              </w:rPr>
              <w:t>ich rozwiązania, syntetyzować różne idee i punkty widzenia z wykorzystaniem wiedzy z dyscyplin nauki właściwych dla filologii romańskiej</w:t>
            </w: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 w:rsidP="004A40E9">
            <w:pPr>
              <w:numPr>
                <w:ilvl w:val="0"/>
                <w:numId w:val="3"/>
              </w:numPr>
            </w:pPr>
            <w:r>
              <w:rPr>
                <w:rFonts w:ascii="TimesNewRoman" w:hAnsi="TimesNewRoman"/>
                <w:color w:val="000000"/>
                <w:sz w:val="20"/>
              </w:rPr>
              <w:t xml:space="preserve"> komunikować się na tematy specjalistyczne ze zróżnicowanymi kręgami odbiorców</w:t>
            </w:r>
          </w:p>
          <w:p w:rsidR="00E346FB" w:rsidRDefault="00E346FB" w:rsidP="004A40E9">
            <w:pPr>
              <w:numPr>
                <w:ilvl w:val="0"/>
                <w:numId w:val="3"/>
              </w:numPr>
            </w:pPr>
            <w:r>
              <w:rPr>
                <w:rFonts w:ascii="TimesNewRoman" w:hAnsi="TimesNewRoman"/>
                <w:color w:val="000000"/>
                <w:sz w:val="20"/>
              </w:rPr>
              <w:t>prowadzić debatę</w:t>
            </w:r>
          </w:p>
          <w:p w:rsidR="00E346FB" w:rsidRDefault="00E346FB" w:rsidP="004A40E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posługiwać się językiem obcym na poziomie B2+ Europejskiego Systemu Opisu Kształcenia Językowego oraz w wyższym stopniu w zakresie specjalistycznej terminologii </w:t>
            </w:r>
          </w:p>
          <w:p w:rsidR="00E346FB" w:rsidRDefault="00E346FB">
            <w:pPr>
              <w:ind w:left="720"/>
              <w:rPr>
                <w:sz w:val="20"/>
                <w:szCs w:val="20"/>
              </w:rPr>
            </w:pPr>
          </w:p>
          <w:p w:rsidR="00E346FB" w:rsidRDefault="00E346FB" w:rsidP="004A40E9">
            <w:pPr>
              <w:pStyle w:val="Default"/>
              <w:numPr>
                <w:ilvl w:val="0"/>
                <w:numId w:val="3"/>
              </w:numPr>
            </w:pPr>
            <w:r>
              <w:rPr>
                <w:sz w:val="20"/>
                <w:szCs w:val="20"/>
              </w:rPr>
              <w:t>samodzielnie planować i realizować własne uczenie się przez całe życie i ukierunkowywać innych w tym zakresie</w:t>
            </w:r>
            <w:r>
              <w:t xml:space="preserve"> </w:t>
            </w:r>
          </w:p>
          <w:p w:rsidR="00E346FB" w:rsidRDefault="00E346FB"/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K2_U01</w:t>
            </w: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K2_U03</w:t>
            </w: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K2_U06</w:t>
            </w:r>
          </w:p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K2_U10</w:t>
            </w: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K2_U14</w:t>
            </w: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9645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5248"/>
        <w:gridCol w:w="2411"/>
      </w:tblGrid>
      <w:tr w:rsidR="00E346FB" w:rsidTr="00E346FB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E346FB" w:rsidRDefault="00E346FB">
            <w:pPr>
              <w:jc w:val="center"/>
              <w:rPr>
                <w:b/>
              </w:rPr>
            </w:pPr>
            <w:r>
              <w:rPr>
                <w:b/>
              </w:rPr>
              <w:t>Charakterystyki drugiego stopnia</w:t>
            </w:r>
          </w:p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E346FB" w:rsidTr="00E346FB">
        <w:trPr>
          <w:trHeight w:val="407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b/>
              </w:rPr>
              <w:t xml:space="preserve">Absolwent jest gotów do/ </w:t>
            </w:r>
            <w:r>
              <w:rPr>
                <w:b/>
                <w:sz w:val="20"/>
                <w:szCs w:val="20"/>
              </w:rPr>
              <w:t>P7U_K</w:t>
            </w: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 w:rsidP="004A40E9">
            <w:pPr>
              <w:numPr>
                <w:ilvl w:val="0"/>
                <w:numId w:val="4"/>
              </w:num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krytycznej oceny odbieranych treści</w:t>
            </w:r>
          </w:p>
          <w:p w:rsidR="00E346FB" w:rsidRDefault="00E346FB" w:rsidP="004A40E9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uznawania znaczenia wiedzy w rozwiązywaniu problemów poznawczych i praktycznych</w:t>
            </w: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 w:rsidP="004A40E9">
            <w:pPr>
              <w:numPr>
                <w:ilvl w:val="0"/>
                <w:numId w:val="4"/>
              </w:num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odpowiedzialnego pełnienia ról zawodowych z uwzględnieniem zmieniających się potrzeb społecznych</w:t>
            </w: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  <w:p w:rsidR="00E346FB" w:rsidRDefault="00E346FB"/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K2_K01</w:t>
            </w:r>
          </w:p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K2_K04</w:t>
            </w: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</w:p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K2_K02</w:t>
            </w:r>
          </w:p>
          <w:p w:rsidR="00E346FB" w:rsidRDefault="00E346FB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9645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46FB" w:rsidTr="00E346FB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346FB" w:rsidRDefault="00E346FB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E346FB" w:rsidTr="00E346FB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       Wykład</w:t>
            </w:r>
          </w:p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E346FB" w:rsidTr="00E346FB">
        <w:trPr>
          <w:trHeight w:val="460"/>
        </w:trPr>
        <w:tc>
          <w:tcPr>
            <w:tcW w:w="96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E346FB" w:rsidTr="00E346FB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Opis metod prowadzenia zajęć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E346FB" w:rsidTr="00E346FB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346FB" w:rsidRDefault="00E346FB" w:rsidP="004A40E9">
            <w:pPr>
              <w:numPr>
                <w:ilvl w:val="0"/>
                <w:numId w:val="5"/>
              </w:numPr>
              <w:autoSpaceDE/>
              <w:autoSpaceDN w:val="0"/>
            </w:pPr>
            <w:r>
              <w:t xml:space="preserve">wykonywanie zadań na podawanie podanych instrukcji poprzez platformę </w:t>
            </w:r>
            <w:r>
              <w:rPr>
                <w:rStyle w:val="Uwydatnienie"/>
                <w:i w:val="0"/>
              </w:rPr>
              <w:t xml:space="preserve"> </w:t>
            </w:r>
            <w:proofErr w:type="spellStart"/>
            <w:r>
              <w:rPr>
                <w:rStyle w:val="Uwydatnienie"/>
                <w:i w:val="0"/>
              </w:rPr>
              <w:t>Moodle</w:t>
            </w:r>
            <w:proofErr w:type="spellEnd"/>
          </w:p>
          <w:p w:rsidR="00E346FB" w:rsidRDefault="00E346FB" w:rsidP="004A40E9">
            <w:pPr>
              <w:numPr>
                <w:ilvl w:val="0"/>
                <w:numId w:val="5"/>
              </w:numPr>
              <w:autoSpaceDE/>
              <w:autoSpaceDN w:val="0"/>
            </w:pPr>
            <w:r>
              <w:t>„spotkania” online w celu wymiany wiedzy i doświadczeń</w:t>
            </w:r>
          </w:p>
          <w:p w:rsidR="00E346FB" w:rsidRDefault="00E346FB" w:rsidP="004A40E9">
            <w:pPr>
              <w:numPr>
                <w:ilvl w:val="0"/>
                <w:numId w:val="5"/>
              </w:numPr>
              <w:autoSpaceDE/>
              <w:autoSpaceDN w:val="0"/>
            </w:pPr>
            <w:r>
              <w:t>indywidualna ocena problemów oraz dzielenie się doświadczeniami w grupie (forum)</w:t>
            </w:r>
          </w:p>
          <w:p w:rsidR="00E346FB" w:rsidRDefault="00E346FB" w:rsidP="004A40E9">
            <w:pPr>
              <w:numPr>
                <w:ilvl w:val="0"/>
                <w:numId w:val="5"/>
              </w:numPr>
              <w:autoSpaceDE/>
              <w:autoSpaceDN w:val="0"/>
            </w:pPr>
            <w:r>
              <w:t>udzielanie wskazówek przez prowadzącego zajęcia online oraz w trakcie zajęć</w:t>
            </w:r>
          </w:p>
          <w:p w:rsidR="00E346FB" w:rsidRDefault="00E346FB" w:rsidP="004A40E9">
            <w:pPr>
              <w:numPr>
                <w:ilvl w:val="0"/>
                <w:numId w:val="5"/>
              </w:numPr>
              <w:autoSpaceDE/>
              <w:autoSpaceDN w:val="0"/>
            </w:pPr>
            <w:r>
              <w:t>realizacja projektu indywidualnego</w:t>
            </w: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Formy sprawdzania efektów uczenia się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6"/>
        <w:gridCol w:w="628"/>
        <w:gridCol w:w="628"/>
        <w:gridCol w:w="629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E346FB" w:rsidTr="00E346FB">
        <w:trPr>
          <w:cantSplit/>
          <w:trHeight w:val="1616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346FB" w:rsidRDefault="00E346F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</w:tr>
      <w:tr w:rsidR="00E346FB" w:rsidTr="00E346FB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6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W06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59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6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U06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6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U10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6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6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6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  <w:tr w:rsidR="00E346FB" w:rsidTr="00E346FB">
        <w:trPr>
          <w:cantSplit/>
          <w:trHeight w:val="244"/>
        </w:trPr>
        <w:tc>
          <w:tcPr>
            <w:tcW w:w="9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346FB" w:rsidRDefault="00E34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346FB" w:rsidRDefault="00E346FB">
            <w:pPr>
              <w:rPr>
                <w:sz w:val="20"/>
                <w:szCs w:val="20"/>
              </w:rPr>
            </w:pP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9645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7703"/>
      </w:tblGrid>
      <w:tr w:rsidR="00E346FB" w:rsidTr="00E346FB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346FB" w:rsidRDefault="00E346FB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Regularne i aktywne uczestnictwo w zajęciach; systematyczne wykonywanie zadań on-line, przygotowanie i przedstawienie projektu końcowego, egzamin.</w:t>
            </w: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E346FB" w:rsidTr="00E346FB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346FB" w:rsidRDefault="00E346FB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Zajęcia mogą być prowadzone w formie zdalnej</w:t>
            </w: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Treści merytoryczne (wykaz tematów)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E346FB" w:rsidTr="00E346FB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 w:rsidP="004A40E9">
            <w:pPr>
              <w:pStyle w:val="Tekstdymka1"/>
              <w:numPr>
                <w:ilvl w:val="0"/>
                <w:numId w:val="6"/>
              </w:numPr>
              <w:autoSpaceDE/>
              <w:autoSpaceDN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Wykorzystanie technologii komputerowych w nauczaniu / uczenia się</w:t>
            </w:r>
          </w:p>
          <w:p w:rsidR="00E346FB" w:rsidRDefault="00E346FB" w:rsidP="004A40E9">
            <w:pPr>
              <w:pStyle w:val="Tekstdymka1"/>
              <w:numPr>
                <w:ilvl w:val="0"/>
                <w:numId w:val="6"/>
              </w:numPr>
              <w:autoSpaceDE/>
              <w:autoSpaceDN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Autonomia w nauczaniu na odległość</w:t>
            </w:r>
          </w:p>
          <w:p w:rsidR="00E346FB" w:rsidRDefault="00E346FB" w:rsidP="004A40E9">
            <w:pPr>
              <w:pStyle w:val="Nagwek3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Przeszukiwanie zasobów internetowych i ocena ich wiarygodności</w:t>
            </w:r>
          </w:p>
          <w:p w:rsidR="00E346FB" w:rsidRDefault="00E346FB" w:rsidP="004A40E9">
            <w:pPr>
              <w:pStyle w:val="Nagwek3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Portale internetowe dla nauczycieli języka francuskiego</w:t>
            </w:r>
          </w:p>
          <w:p w:rsidR="00E346FB" w:rsidRDefault="00E346FB" w:rsidP="004A40E9">
            <w:pPr>
              <w:pStyle w:val="Nagwek3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Wirtualne podręczniki do nauczania języka francuskiego</w:t>
            </w:r>
          </w:p>
          <w:p w:rsidR="00E346FB" w:rsidRDefault="00E346FB" w:rsidP="004A40E9">
            <w:pPr>
              <w:pStyle w:val="Nagwek3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WebQuest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346FB" w:rsidRDefault="00E346FB" w:rsidP="004A40E9">
            <w:pPr>
              <w:pStyle w:val="Nagwek1"/>
              <w:numPr>
                <w:ilvl w:val="0"/>
                <w:numId w:val="6"/>
              </w:numPr>
              <w:tabs>
                <w:tab w:val="left" w:pos="708"/>
              </w:tabs>
              <w:jc w:val="left"/>
              <w:rPr>
                <w:rStyle w:val="hscoswrapper"/>
              </w:rPr>
            </w:pPr>
            <w:r>
              <w:rPr>
                <w:rStyle w:val="hscoswrapper"/>
                <w:rFonts w:ascii="Times New Roman" w:hAnsi="Times New Roman" w:cs="Times New Roman"/>
                <w:sz w:val="24"/>
                <w:szCs w:val="24"/>
              </w:rPr>
              <w:t>Możliwości darmowych narzędzi Google</w:t>
            </w:r>
          </w:p>
          <w:p w:rsidR="00E346FB" w:rsidRDefault="00E346FB" w:rsidP="00E6750E">
            <w:pPr>
              <w:autoSpaceDE/>
              <w:autoSpaceDN w:val="0"/>
              <w:ind w:left="720"/>
              <w:rPr>
                <w:rFonts w:eastAsia="Arial"/>
                <w:sz w:val="20"/>
                <w:szCs w:val="20"/>
              </w:rPr>
            </w:pPr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Wykaz literatury podstawowej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E346FB" w:rsidTr="00E346FB">
        <w:trPr>
          <w:trHeight w:val="17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snapToGrid w:val="0"/>
              <w:rPr>
                <w:lang w:val="fr-FR"/>
              </w:rPr>
            </w:pPr>
            <w:r>
              <w:rPr>
                <w:lang w:val="fr-FR"/>
              </w:rPr>
              <w:t xml:space="preserve">Foucher A.-L., Pothier M., Rodrigues Ch., </w:t>
            </w:r>
            <w:proofErr w:type="spellStart"/>
            <w:r>
              <w:rPr>
                <w:lang w:val="fr-FR"/>
              </w:rPr>
              <w:t>Quanquin</w:t>
            </w:r>
            <w:proofErr w:type="spellEnd"/>
            <w:r>
              <w:rPr>
                <w:lang w:val="fr-FR"/>
              </w:rPr>
              <w:t xml:space="preserve"> V. (2008), </w:t>
            </w:r>
            <w:r>
              <w:rPr>
                <w:i/>
                <w:lang w:val="fr-FR"/>
              </w:rPr>
              <w:t>TICE et Didactique des Langues Etrangères et Maternelles : la problématique des aides à l’apprentissage</w:t>
            </w:r>
            <w:r>
              <w:rPr>
                <w:lang w:val="fr-FR"/>
              </w:rPr>
              <w:t xml:space="preserve">, </w:t>
            </w:r>
            <w:r>
              <w:rPr>
                <w:rStyle w:val="st"/>
                <w:lang w:val="fr-FR"/>
              </w:rPr>
              <w:t>Clermont-Ferrand:</w:t>
            </w:r>
            <w:r>
              <w:rPr>
                <w:lang w:val="fr-FR"/>
              </w:rPr>
              <w:t xml:space="preserve"> Presses Universitaires Blaise Pascal.</w:t>
            </w:r>
          </w:p>
          <w:p w:rsidR="00E346FB" w:rsidRDefault="00E346FB">
            <w:pPr>
              <w:rPr>
                <w:lang w:val="fr-FR"/>
              </w:rPr>
            </w:pPr>
            <w:r>
              <w:rPr>
                <w:lang w:val="fr-FR"/>
              </w:rPr>
              <w:t xml:space="preserve">Jaillet A. (2004) </w:t>
            </w:r>
            <w:r>
              <w:rPr>
                <w:i/>
                <w:lang w:val="fr-FR"/>
              </w:rPr>
              <w:t>L’École à l’ère numérique : des espaces pédagogiques numériques à l’enseignement à distance</w:t>
            </w:r>
            <w:r>
              <w:rPr>
                <w:lang w:val="fr-FR"/>
              </w:rPr>
              <w:t xml:space="preserve">, Paris: </w:t>
            </w:r>
            <w:proofErr w:type="spellStart"/>
            <w:r>
              <w:rPr>
                <w:lang w:val="fr-FR"/>
              </w:rPr>
              <w:t>L’Harmattan</w:t>
            </w:r>
            <w:proofErr w:type="spellEnd"/>
            <w:r>
              <w:rPr>
                <w:lang w:val="fr-FR"/>
              </w:rPr>
              <w:t xml:space="preserve">. </w:t>
            </w:r>
          </w:p>
          <w:p w:rsidR="00E346FB" w:rsidRDefault="00E346FB">
            <w:pPr>
              <w:rPr>
                <w:lang w:val="fr-FR"/>
              </w:rPr>
            </w:pPr>
            <w:r>
              <w:rPr>
                <w:lang w:val="fr-FR"/>
              </w:rPr>
              <w:t xml:space="preserve">Sowa M.,  Gajewska E. (2014)  </w:t>
            </w:r>
            <w:r>
              <w:rPr>
                <w:i/>
                <w:lang w:val="fr-FR"/>
              </w:rPr>
              <w:t>L’exploitation des TICE au service de l’enseignement des langues à objectif spécifique,</w:t>
            </w:r>
            <w:r>
              <w:rPr>
                <w:lang w:val="fr-FR"/>
              </w:rPr>
              <w:t xml:space="preserve"> Studia Romanica </w:t>
            </w:r>
            <w:proofErr w:type="spellStart"/>
            <w:r>
              <w:rPr>
                <w:lang w:val="fr-FR"/>
              </w:rPr>
              <w:t>Posnaniensia</w:t>
            </w:r>
            <w:proofErr w:type="spellEnd"/>
            <w:r>
              <w:rPr>
                <w:lang w:val="fr-FR"/>
              </w:rPr>
              <w:t>, XLI/3. pp. 17-32.</w:t>
            </w:r>
          </w:p>
          <w:p w:rsidR="00E346FB" w:rsidRDefault="00E346FB">
            <w:r>
              <w:t>Wybrane strony internetowe:</w:t>
            </w:r>
          </w:p>
          <w:p w:rsidR="00E346FB" w:rsidRDefault="00E346FB">
            <w:pPr>
              <w:snapToGrid w:val="0"/>
            </w:pPr>
            <w:r>
              <w:t>http://www.francparler-oif.org/</w:t>
            </w:r>
          </w:p>
          <w:p w:rsidR="00E346FB" w:rsidRDefault="00E346FB">
            <w:pPr>
              <w:snapToGrid w:val="0"/>
            </w:pPr>
            <w:r>
              <w:t>http://www.tv5monde.com/</w:t>
            </w:r>
          </w:p>
          <w:p w:rsidR="00E346FB" w:rsidRDefault="00E346FB">
            <w:pPr>
              <w:snapToGrid w:val="0"/>
            </w:pPr>
            <w:r>
              <w:t>http://www.rfi.fr/</w:t>
            </w:r>
          </w:p>
          <w:p w:rsidR="00E346FB" w:rsidRDefault="00E346FB">
            <w:pPr>
              <w:snapToGrid w:val="0"/>
            </w:pPr>
            <w:r>
              <w:t>https://www.duolingo.com</w:t>
            </w:r>
          </w:p>
          <w:p w:rsidR="00E346FB" w:rsidRDefault="00E346FB">
            <w:pPr>
              <w:snapToGrid w:val="0"/>
            </w:pPr>
            <w:r>
              <w:t>http://fr.slideshare.net/kbgottlieb64/la-webquest-en-classe-de-fle-power-point1</w:t>
            </w:r>
          </w:p>
          <w:p w:rsidR="00E346FB" w:rsidRDefault="00E346FB">
            <w:pPr>
              <w:snapToGrid w:val="0"/>
            </w:pPr>
            <w:r>
              <w:t>http://www.uv.es/moltoe/webquest/audept/top.html</w:t>
            </w:r>
          </w:p>
          <w:p w:rsidR="00E346FB" w:rsidRDefault="00E346FB" w:rsidP="00E6750E">
            <w:pPr>
              <w:snapToGrid w:val="0"/>
            </w:pPr>
            <w:bookmarkStart w:id="0" w:name="_GoBack"/>
            <w:bookmarkEnd w:id="0"/>
          </w:p>
        </w:tc>
      </w:tr>
    </w:tbl>
    <w:p w:rsidR="00E346FB" w:rsidRDefault="00E346FB" w:rsidP="00E346FB">
      <w:pPr>
        <w:rPr>
          <w:rFonts w:eastAsia="Arial"/>
          <w:sz w:val="20"/>
          <w:szCs w:val="20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Wykaz literatury uzupełniającej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E346FB" w:rsidTr="00E346FB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346FB" w:rsidRDefault="00E346FB">
            <w:pPr>
              <w:rPr>
                <w:lang w:val="fr-FR"/>
              </w:rPr>
            </w:pPr>
            <w:r>
              <w:rPr>
                <w:lang w:val="fr-FR"/>
              </w:rPr>
              <w:t>Chmiel-</w:t>
            </w:r>
            <w:proofErr w:type="spellStart"/>
            <w:r>
              <w:rPr>
                <w:lang w:val="fr-FR"/>
              </w:rPr>
              <w:t>Bożek</w:t>
            </w:r>
            <w:proofErr w:type="spellEnd"/>
            <w:r>
              <w:rPr>
                <w:lang w:val="fr-FR"/>
              </w:rPr>
              <w:t xml:space="preserve"> H. (2011), </w:t>
            </w:r>
            <w:r>
              <w:rPr>
                <w:i/>
                <w:lang w:val="fr-FR"/>
              </w:rPr>
              <w:t>La nouvelle à l’heure des TICE</w:t>
            </w:r>
            <w:r>
              <w:rPr>
                <w:lang w:val="fr-FR"/>
              </w:rPr>
              <w:t>, Dialogues et cultures 57, pp.133-138.</w:t>
            </w:r>
          </w:p>
          <w:p w:rsidR="00E346FB" w:rsidRDefault="00E346F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Glikman</w:t>
            </w:r>
            <w:proofErr w:type="spellEnd"/>
            <w:r>
              <w:rPr>
                <w:lang w:val="fr-FR"/>
              </w:rPr>
              <w:t xml:space="preserve"> V. (2002), </w:t>
            </w:r>
            <w:r>
              <w:rPr>
                <w:i/>
                <w:lang w:val="fr-FR"/>
              </w:rPr>
              <w:t>Des cours par correspondance au e-learning</w:t>
            </w:r>
            <w:r>
              <w:rPr>
                <w:lang w:val="fr-FR"/>
              </w:rPr>
              <w:t xml:space="preserve">, Paris: PUF. </w:t>
            </w:r>
          </w:p>
          <w:p w:rsidR="00E346FB" w:rsidRDefault="00E346F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Depover</w:t>
            </w:r>
            <w:proofErr w:type="spellEnd"/>
            <w:r>
              <w:rPr>
                <w:lang w:val="fr-FR"/>
              </w:rPr>
              <w:t xml:space="preserve"> C., Marchand L. (2002), </w:t>
            </w:r>
            <w:r>
              <w:rPr>
                <w:i/>
                <w:lang w:val="fr-FR"/>
              </w:rPr>
              <w:t>E-learning et formation des adultes en contexte professionnel</w:t>
            </w:r>
            <w:r>
              <w:rPr>
                <w:lang w:val="fr-FR"/>
              </w:rPr>
              <w:t>, Bruxelles: De Boeck.</w:t>
            </w:r>
          </w:p>
          <w:p w:rsidR="00E346FB" w:rsidRDefault="00E346FB">
            <w:pPr>
              <w:rPr>
                <w:lang w:val="fr-FR"/>
              </w:rPr>
            </w:pPr>
            <w:r>
              <w:rPr>
                <w:lang w:val="fr-FR"/>
              </w:rPr>
              <w:t xml:space="preserve">Lancien T. (1998), </w:t>
            </w:r>
            <w:r>
              <w:rPr>
                <w:i/>
                <w:lang w:val="fr-FR"/>
              </w:rPr>
              <w:t>Le multimédia</w:t>
            </w:r>
            <w:r>
              <w:rPr>
                <w:lang w:val="fr-FR"/>
              </w:rPr>
              <w:t>, Paris : Clé International.</w:t>
            </w:r>
          </w:p>
          <w:p w:rsidR="00E346FB" w:rsidRDefault="00E346FB">
            <w:pPr>
              <w:rPr>
                <w:lang w:val="fr-FR"/>
              </w:rPr>
            </w:pPr>
          </w:p>
        </w:tc>
      </w:tr>
    </w:tbl>
    <w:p w:rsidR="00E346FB" w:rsidRDefault="00E346FB" w:rsidP="00E346FB">
      <w:pPr>
        <w:rPr>
          <w:rFonts w:eastAsia="Arial"/>
          <w:sz w:val="20"/>
          <w:szCs w:val="20"/>
          <w:lang w:val="fr-FR"/>
        </w:rPr>
      </w:pPr>
    </w:p>
    <w:p w:rsidR="00E346FB" w:rsidRDefault="00E346FB" w:rsidP="00E346FB">
      <w:pPr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Bilans godzinowy zgodny z CNPS (Całkowity Nakład Pracy Studenta)</w:t>
      </w:r>
    </w:p>
    <w:p w:rsidR="00E346FB" w:rsidRDefault="00E346FB" w:rsidP="00E346FB">
      <w:pPr>
        <w:rPr>
          <w:rFonts w:eastAsia="Arial"/>
          <w:sz w:val="20"/>
          <w:szCs w:val="20"/>
        </w:rPr>
      </w:pPr>
    </w:p>
    <w:tbl>
      <w:tblPr>
        <w:tblW w:w="0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346FB" w:rsidTr="00E346FB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E346FB" w:rsidTr="00E346FB">
        <w:trPr>
          <w:trHeight w:val="32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E346FB" w:rsidTr="00E346FB">
        <w:trPr>
          <w:trHeight w:val="66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</w:t>
            </w:r>
          </w:p>
        </w:tc>
      </w:tr>
      <w:tr w:rsidR="00E346FB" w:rsidTr="00E346FB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6750E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14</w:t>
            </w:r>
          </w:p>
        </w:tc>
      </w:tr>
      <w:tr w:rsidR="00E346FB" w:rsidTr="00E346FB">
        <w:trPr>
          <w:trHeight w:val="70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Zadania wykonywane na odległość na platformie </w:t>
            </w:r>
            <w:proofErr w:type="spellStart"/>
            <w:r>
              <w:rPr>
                <w:rFonts w:eastAsia="Arial"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E346FB" w:rsidTr="00E346FB">
        <w:trPr>
          <w:trHeight w:val="72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10</w:t>
            </w:r>
          </w:p>
        </w:tc>
      </w:tr>
      <w:tr w:rsidR="00E346FB" w:rsidTr="00E346FB">
        <w:trPr>
          <w:trHeight w:val="36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suppressAutoHyphens w:val="0"/>
              <w:autoSpaceDE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</w:t>
            </w:r>
          </w:p>
        </w:tc>
      </w:tr>
      <w:tr w:rsidR="00E346FB" w:rsidTr="00E346FB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90</w:t>
            </w:r>
          </w:p>
        </w:tc>
      </w:tr>
      <w:tr w:rsidR="00E346FB" w:rsidTr="00E346FB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346FB" w:rsidRDefault="00E346FB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346FB" w:rsidRDefault="00E346FB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</w:p>
        </w:tc>
      </w:tr>
    </w:tbl>
    <w:p w:rsidR="00E346FB" w:rsidRDefault="00E346FB" w:rsidP="00E346FB"/>
    <w:p w:rsidR="00117457" w:rsidRDefault="00117457"/>
    <w:sectPr w:rsidR="00117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BB5E02"/>
    <w:multiLevelType w:val="hybridMultilevel"/>
    <w:tmpl w:val="97342EF2"/>
    <w:lvl w:ilvl="0" w:tplc="DD267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F3F4F"/>
    <w:multiLevelType w:val="hybridMultilevel"/>
    <w:tmpl w:val="FE468188"/>
    <w:lvl w:ilvl="0" w:tplc="DD267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3487B"/>
    <w:multiLevelType w:val="hybridMultilevel"/>
    <w:tmpl w:val="9014ED7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34F45"/>
    <w:multiLevelType w:val="hybridMultilevel"/>
    <w:tmpl w:val="859AE790"/>
    <w:lvl w:ilvl="0" w:tplc="DD267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FB"/>
    <w:rsid w:val="00117457"/>
    <w:rsid w:val="00E346FB"/>
    <w:rsid w:val="00E6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9756"/>
  <w15:chartTrackingRefBased/>
  <w15:docId w15:val="{93B3C186-9055-425C-BD62-795A28A8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6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46FB"/>
    <w:pPr>
      <w:keepNext/>
      <w:numPr>
        <w:numId w:val="1"/>
      </w:numPr>
      <w:autoSpaceDE/>
      <w:jc w:val="center"/>
      <w:outlineLvl w:val="0"/>
    </w:pPr>
    <w:rPr>
      <w:rFonts w:ascii="Verdana" w:eastAsia="SimSun" w:hAnsi="Verdana" w:cs="Mangal"/>
      <w:kern w:val="2"/>
      <w:sz w:val="28"/>
      <w:szCs w:val="28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46FB"/>
    <w:pPr>
      <w:keepNext/>
      <w:autoSpaceDE/>
      <w:spacing w:before="240" w:after="60"/>
      <w:outlineLvl w:val="2"/>
    </w:pPr>
    <w:rPr>
      <w:rFonts w:ascii="Cambria" w:hAnsi="Cambria" w:cs="Mangal"/>
      <w:b/>
      <w:bCs/>
      <w:kern w:val="2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46FB"/>
    <w:rPr>
      <w:rFonts w:ascii="Verdana" w:eastAsia="SimSun" w:hAnsi="Verdana" w:cs="Mangal"/>
      <w:kern w:val="2"/>
      <w:sz w:val="28"/>
      <w:szCs w:val="28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46FB"/>
    <w:rPr>
      <w:rFonts w:ascii="Cambria" w:eastAsia="Times New Roman" w:hAnsi="Cambria" w:cs="Mangal"/>
      <w:b/>
      <w:bCs/>
      <w:kern w:val="2"/>
      <w:sz w:val="26"/>
      <w:szCs w:val="23"/>
      <w:lang w:eastAsia="hi-IN" w:bidi="hi-IN"/>
    </w:rPr>
  </w:style>
  <w:style w:type="character" w:styleId="Hipercze">
    <w:name w:val="Hyperlink"/>
    <w:uiPriority w:val="99"/>
    <w:semiHidden/>
    <w:unhideWhenUsed/>
    <w:rsid w:val="00E346FB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346FB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E346FB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Tekstdymka1">
    <w:name w:val="Tekst dymka1"/>
    <w:basedOn w:val="Normalny"/>
    <w:rsid w:val="00E346F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346FB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E346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omylnaczcionkaakapitu"/>
    <w:rsid w:val="00E346FB"/>
  </w:style>
  <w:style w:type="character" w:customStyle="1" w:styleId="hscoswrapper">
    <w:name w:val="hs_cos_wrapper"/>
    <w:basedOn w:val="Domylnaczcionkaakapitu"/>
    <w:rsid w:val="00E346FB"/>
  </w:style>
  <w:style w:type="character" w:styleId="Uwydatnienie">
    <w:name w:val="Emphasis"/>
    <w:basedOn w:val="Domylnaczcionkaakapitu"/>
    <w:uiPriority w:val="20"/>
    <w:qFormat/>
    <w:rsid w:val="00E346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Gajewska</dc:creator>
  <cp:keywords/>
  <dc:description/>
  <cp:lastModifiedBy>Elżbieta Gajewska</cp:lastModifiedBy>
  <cp:revision>2</cp:revision>
  <dcterms:created xsi:type="dcterms:W3CDTF">2022-09-25T19:48:00Z</dcterms:created>
  <dcterms:modified xsi:type="dcterms:W3CDTF">2022-09-25T19:54:00Z</dcterms:modified>
</cp:coreProperties>
</file>